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1FD5" w14:textId="77777777" w:rsidR="00D34400" w:rsidRPr="006D4EB6" w:rsidRDefault="00D34400" w:rsidP="00D34400">
      <w:pPr>
        <w:widowControl w:val="0"/>
        <w:shd w:val="clear" w:color="auto" w:fill="FFFFFF"/>
        <w:spacing w:after="0" w:line="56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D4E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DELIBERA N°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41</w:t>
      </w:r>
      <w:r w:rsidRPr="006D4E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22</w:t>
      </w:r>
      <w:r w:rsidRPr="006D4E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SETTEMBRE 2025</w:t>
      </w:r>
    </w:p>
    <w:p w14:paraId="014EF198" w14:textId="77777777" w:rsidR="00D34400" w:rsidRDefault="00D34400" w:rsidP="00D34400">
      <w:pPr>
        <w:widowControl w:val="0"/>
        <w:shd w:val="clear" w:color="auto" w:fill="FFFFFF"/>
        <w:spacing w:after="0" w:line="56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D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Oggetto:</w:t>
      </w:r>
      <w:r w:rsidRPr="006D4E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Variazioni al Bilancio di Previsione dell’esercizio 2025</w:t>
      </w:r>
    </w:p>
    <w:p w14:paraId="4C970512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Consiglio,</w:t>
      </w:r>
    </w:p>
    <w:p w14:paraId="58AA6DDD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il Bilancio di previsione dell’esercizio 2025 approvato dal Consiglio di Amministrazione in data 28 novembre 2024 con delibera n. 41;</w:t>
      </w:r>
    </w:p>
    <w:p w14:paraId="1D4592ED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VISTA la variazione al bilancio dell’anno corrente approvato dal Consiglio di Amministrazione con delibera n. 6 del 31 gennaio 2025;</w:t>
      </w:r>
    </w:p>
    <w:p w14:paraId="11224732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VISTA la delibera del Consiglio d’Amministrazione n. 18 del 23 aprile 2025 di approvazione del bilancio consuntivo relativo all’esercizio 2024;</w:t>
      </w:r>
    </w:p>
    <w:p w14:paraId="6B120C5F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CONSIDERATO che per i motivi predetti la previsione di un bilancio per l’esercizio 2025 in pareggio somma complessivamente </w:t>
      </w:r>
      <w:bookmarkStart w:id="0" w:name="_Hlk188623472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euro 5.773.474 (diconsi cinquemilionisettecento-settantatremilaquattrocentosettantaquattro/00);</w:t>
      </w:r>
    </w:p>
    <w:p w14:paraId="2E719618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ATTESO che nel corso del corrente esercizio si rilevano nuove entrate alla data attuale e contestualmente si provvede ad aggiornare le stime dei costi attesi al 31/12/2025;</w:t>
      </w:r>
    </w:p>
    <w:bookmarkEnd w:id="0"/>
    <w:p w14:paraId="5697DAAD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VALUTATA l'opportunità di apportare le necessarie modifiche al Bilancio di Previsione per l'esercizio 2025; </w:t>
      </w:r>
    </w:p>
    <w:p w14:paraId="1AAD1563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SENTITI i riferimenti del Presidente;</w:t>
      </w:r>
    </w:p>
    <w:p w14:paraId="7D1A3813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SENTITO il Responsabile dell’Area Amministrativa;</w:t>
      </w:r>
    </w:p>
    <w:p w14:paraId="71E62B2F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lo Statuto dell’Ente;</w:t>
      </w:r>
    </w:p>
    <w:p w14:paraId="261394B3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il Regolamento Generale dell’Ente;</w:t>
      </w:r>
    </w:p>
    <w:p w14:paraId="583C5CC9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il Regolamento Amministrativo-Contabile-Finanziario dell’Ente;</w:t>
      </w:r>
    </w:p>
    <w:p w14:paraId="1EC068FB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all’unanimità dei voti legalmente resi e riscontrati</w:t>
      </w:r>
    </w:p>
    <w:p w14:paraId="5688367B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DELIBERA</w:t>
      </w:r>
    </w:p>
    <w:p w14:paraId="429EE998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- di aver accertato e di autorizzare le seguenti variazioni al Bilancio di Previsione per l'esercizio 2025:</w:t>
      </w:r>
    </w:p>
    <w:p w14:paraId="65744F0C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A) ENTRATE</w:t>
      </w:r>
    </w:p>
    <w:p w14:paraId="3A096F9A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21/8 riduzione del Fondo minori entrate: - 25.097 euro;</w:t>
      </w:r>
    </w:p>
    <w:p w14:paraId="170B4489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53/09 Contributi con vincolo d’investimento: + 150.000 euro;</w:t>
      </w:r>
    </w:p>
    <w:p w14:paraId="2650EA3A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53/11 Sopravvenienze attive: + 1.000 euro;</w:t>
      </w:r>
    </w:p>
    <w:p w14:paraId="09367E3A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53/13 Contributi da altri Enti (Presidenza del Consiglio): + 105.000 euro;</w:t>
      </w:r>
    </w:p>
    <w:p w14:paraId="0A9531AB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TOTALE NUOVE ENTRATE: + 230.903 EURO</w:t>
      </w:r>
    </w:p>
    <w:p w14:paraId="189F223F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B) USCITE:</w:t>
      </w:r>
    </w:p>
    <w:p w14:paraId="2BF19C69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63/01 Salari e stipendi: + 22.684 euro;</w:t>
      </w:r>
    </w:p>
    <w:p w14:paraId="6F0A3398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63/02 Oneri sociali e previdenziali: + 6.671 euro;</w:t>
      </w:r>
    </w:p>
    <w:p w14:paraId="756A4B0C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63/03 Accantonamento al fondo T.F.R.: + 1.848 euro;</w:t>
      </w:r>
    </w:p>
    <w:p w14:paraId="09CDFCE1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64/1/10 Assicurazione autoveicoli da trasporto: + 200 euro;</w:t>
      </w:r>
    </w:p>
    <w:p w14:paraId="3E6AFE68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64/1/11 Assicurazione autovetture: - 500 euro;</w:t>
      </w:r>
    </w:p>
    <w:p w14:paraId="29AEBE3D" w14:textId="77777777" w:rsidR="00D34400" w:rsidRPr="00EB4FF8" w:rsidRDefault="00D34400" w:rsidP="00D34400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64/2/24 Manutenzione unità immobiliari: + 200.000 euro;</w:t>
      </w:r>
    </w:p>
    <w:p w14:paraId="2FC4F790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TOTALE NUOVE USCITE: + 230.903 EURO</w:t>
      </w:r>
    </w:p>
    <w:p w14:paraId="325A1B24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- di comunicare la presente deliberazione al Responsabile di Area Amministrativo della Biblioteca per i provvedimenti conseguenti;</w:t>
      </w:r>
    </w:p>
    <w:p w14:paraId="45D00706" w14:textId="77777777" w:rsidR="00D34400" w:rsidRPr="00EB4FF8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approvare il Bilancio Preventivo per l’esercizio 2025 acquisito agli atti dell’Ente con una nuova previsione di pareggio di Bilancio generato da entrate complessive pari ad </w:t>
      </w:r>
      <w:bookmarkStart w:id="1" w:name="_Hlk188623690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euro 6.004.377 (diconsi </w:t>
      </w:r>
      <w:proofErr w:type="spellStart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seimilioniqua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tromilatrecentosetta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nta</w:t>
      </w: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sette</w:t>
      </w:r>
      <w:proofErr w:type="spellEnd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/00) </w:t>
      </w:r>
      <w:bookmarkEnd w:id="1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uscite complessive pari ad euro 6.004.377 (diconsi </w:t>
      </w:r>
      <w:proofErr w:type="spellStart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seimilioniqua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tromilatrecentosetta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nta</w:t>
      </w: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sette</w:t>
      </w:r>
      <w:proofErr w:type="spellEnd"/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/00); </w:t>
      </w:r>
    </w:p>
    <w:p w14:paraId="58AA4DF1" w14:textId="77777777" w:rsidR="00D34400" w:rsidRPr="006D4EB6" w:rsidRDefault="00D34400" w:rsidP="00D34400">
      <w:pPr>
        <w:widowControl w:val="0"/>
        <w:shd w:val="clear" w:color="auto" w:fill="FFFFFF"/>
        <w:spacing w:after="0" w:line="567" w:lineRule="atLeas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B4FF8">
        <w:rPr>
          <w:rFonts w:ascii="Times New Roman" w:eastAsia="Times New Roman" w:hAnsi="Times New Roman" w:cs="Times New Roman"/>
          <w:sz w:val="24"/>
          <w:szCs w:val="24"/>
          <w:lang w:eastAsia="it-IT"/>
        </w:rPr>
        <w:t>di autorizzare la pubblicazione dei documenti sul sito istituzionale della Biblioteca e sulla piattaforma del Ministero dell’Economia e Finanze come previsto dalla normativa vigente.</w:t>
      </w:r>
    </w:p>
    <w:p w14:paraId="2E4327BC" w14:textId="77777777" w:rsidR="001D0B36" w:rsidRDefault="001D0B36"/>
    <w:sectPr w:rsidR="001D0B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955A7"/>
    <w:multiLevelType w:val="hybridMultilevel"/>
    <w:tmpl w:val="3F644474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1688601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31"/>
    <w:rsid w:val="001D0B36"/>
    <w:rsid w:val="0024415C"/>
    <w:rsid w:val="00570D31"/>
    <w:rsid w:val="00A87D11"/>
    <w:rsid w:val="00D3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2B682-3BF3-40F1-82AC-3B185513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400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0D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0D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0D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0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0D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0D31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0D31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0D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0D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0D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0D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0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0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0D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0D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0D31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0D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0D31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0D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>Biblioteca Italiana per i Ciechi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Benincasa</dc:creator>
  <cp:keywords/>
  <dc:description/>
  <cp:lastModifiedBy>Giulio Benincasa</cp:lastModifiedBy>
  <cp:revision>2</cp:revision>
  <dcterms:created xsi:type="dcterms:W3CDTF">2026-05-25T10:50:00Z</dcterms:created>
  <dcterms:modified xsi:type="dcterms:W3CDTF">2026-05-25T10:50:00Z</dcterms:modified>
</cp:coreProperties>
</file>